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E3B15" w14:textId="2FA83CBB" w:rsidR="00BA1763" w:rsidRPr="00BB6CAF" w:rsidRDefault="00BA1763" w:rsidP="00BB6CAF">
      <w:pPr>
        <w:pStyle w:val="THM-Title"/>
      </w:pPr>
      <w:r w:rsidRPr="00BB6CAF">
        <w:t>History of Tawara Mining</w:t>
      </w:r>
    </w:p>
    <w:p w14:paraId="6F74976B" w14:textId="061938B6" w:rsidR="00A50B4B" w:rsidRPr="00F04551" w:rsidRDefault="00A50B4B" w:rsidP="00E63B31">
      <w:pPr>
        <w:pStyle w:val="THM-Subtitle"/>
      </w:pPr>
      <w:r w:rsidRPr="00F04551">
        <w:t xml:space="preserve">Report produced </w:t>
      </w:r>
      <w:proofErr w:type="spellStart"/>
      <w:proofErr w:type="gramStart"/>
      <w:r w:rsidRPr="00F04551">
        <w:t>by:</w:t>
      </w:r>
      <w:r w:rsidR="003631FE">
        <w:t>Habib</w:t>
      </w:r>
      <w:proofErr w:type="spellEnd"/>
      <w:proofErr w:type="gramEnd"/>
      <w:r w:rsidR="003631FE">
        <w:t xml:space="preserve"> Samara</w:t>
      </w:r>
    </w:p>
    <w:p w14:paraId="66E1DE87" w14:textId="77777777" w:rsidR="003E46EB" w:rsidRPr="00F04551" w:rsidRDefault="00553403" w:rsidP="00E63B31">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7FD05D5B" w14:textId="77777777" w:rsidR="00BA1763" w:rsidRDefault="00BA1763" w:rsidP="00E63B31">
      <w:pPr>
        <w:pStyle w:val="THM-Body"/>
        <w:sectPr w:rsidR="00BA1763" w:rsidSect="00745DCF">
          <w:headerReference w:type="default" r:id="rId8"/>
          <w:footerReference w:type="default" r:id="rId9"/>
          <w:pgSz w:w="16840" w:h="11907" w:orient="landscape" w:code="9"/>
          <w:pgMar w:top="1134" w:right="1134" w:bottom="1134" w:left="1134" w:header="709" w:footer="709" w:gutter="0"/>
          <w:cols w:space="708"/>
          <w:docGrid w:linePitch="360"/>
        </w:sectPr>
      </w:pPr>
    </w:p>
    <w:p w14:paraId="0222C839" w14:textId="45C413E5" w:rsidR="00B37ECE" w:rsidRPr="00F04551" w:rsidRDefault="00B37ECE" w:rsidP="00E63B31">
      <w:pPr>
        <w:pStyle w:val="THM-Subhead"/>
      </w:pPr>
      <w:r w:rsidRPr="00F04551">
        <w:t>Tawara Mining</w:t>
      </w:r>
    </w:p>
    <w:p w14:paraId="0B67EAC2" w14:textId="39C0556C" w:rsidR="00216B63" w:rsidRPr="00F04551" w:rsidRDefault="00E63B31" w:rsidP="00E63B31">
      <w:pPr>
        <w:pStyle w:val="THM-Body"/>
      </w:pPr>
      <w:r>
        <w:rPr>
          <w:noProof/>
        </w:rPr>
        <w:drawing>
          <wp:anchor distT="0" distB="0" distL="114300" distR="114300" simplePos="0" relativeHeight="251658240" behindDoc="0" locked="0" layoutInCell="1" allowOverlap="1" wp14:anchorId="5A06EB42" wp14:editId="582026F2">
            <wp:simplePos x="0" y="0"/>
            <wp:positionH relativeFrom="margin">
              <wp:align>left</wp:align>
            </wp:positionH>
            <wp:positionV relativeFrom="paragraph">
              <wp:posOffset>5715</wp:posOffset>
            </wp:positionV>
            <wp:extent cx="1260000" cy="1251600"/>
            <wp:effectExtent l="0" t="0" r="0" b="5715"/>
            <wp:wrapSquare wrapText="bothSides"/>
            <wp:docPr id="393386095" name="Picture 1" descr="A silhouett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86095" name="Picture 1" descr="A silhouette of a building&#10;&#10;AI-generated content may be incorrect."/>
                    <pic:cNvPicPr/>
                  </pic:nvPicPr>
                  <pic:blipFill>
                    <a:blip r:embed="rId10"/>
                    <a:stretch>
                      <a:fillRect/>
                    </a:stretch>
                  </pic:blipFill>
                  <pic:spPr>
                    <a:xfrm>
                      <a:off x="0" y="0"/>
                      <a:ext cx="1260000" cy="1251600"/>
                    </a:xfrm>
                    <a:prstGeom prst="rect">
                      <a:avLst/>
                    </a:prstGeom>
                  </pic:spPr>
                </pic:pic>
              </a:graphicData>
            </a:graphic>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w:t>
      </w:r>
      <w:r w:rsidR="00BB6CAF" w:rsidRPr="00F04551">
        <w:t>Crafty</w:t>
      </w:r>
      <w:r w:rsidR="00216B63" w:rsidRPr="00F04551">
        <w:t xml:space="preserve"> and it became well established as a future leader of the industry. The main metals that it produced were </w:t>
      </w:r>
      <w:r w:rsidR="00F44D40" w:rsidRPr="00F04551">
        <w:t>tin, copper, lead and zinc</w:t>
      </w:r>
      <w:r w:rsidR="00216B63" w:rsidRPr="00F04551">
        <w:t>.</w:t>
      </w:r>
    </w:p>
    <w:p w14:paraId="2CA5C2DC" w14:textId="77777777" w:rsidR="00CA77A7" w:rsidRPr="00F04551" w:rsidRDefault="00F44D40" w:rsidP="00E63B31">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6E314D19" w14:textId="3B478C14" w:rsidR="006719FA" w:rsidRPr="00F04551" w:rsidRDefault="00B37ECE" w:rsidP="00E63B31">
      <w:pPr>
        <w:pStyle w:val="THM-Subhead"/>
      </w:pPr>
      <w:r w:rsidRPr="00F04551">
        <w:t>Dangers</w:t>
      </w:r>
    </w:p>
    <w:p w14:paraId="7467AB35" w14:textId="77777777" w:rsidR="00CA77A7" w:rsidRPr="00D21BA0" w:rsidRDefault="00FD6C4A" w:rsidP="00E63B31">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w:t>
      </w:r>
      <w:r w:rsidR="00AE7531" w:rsidRPr="00D21BA0">
        <w:t>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482000DF" w14:textId="77777777" w:rsidR="00844219" w:rsidRPr="00D21BA0" w:rsidRDefault="00CA77A7" w:rsidP="00E63B31">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on a daily basis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0ECE4527" w14:textId="77777777" w:rsidR="00B75781" w:rsidRPr="00F04551" w:rsidRDefault="00B75781" w:rsidP="00E63B31">
      <w:pPr>
        <w:pStyle w:val="THM-Subhead"/>
      </w:pPr>
      <w:r w:rsidRPr="00F04551">
        <w:t xml:space="preserve">Demise of </w:t>
      </w:r>
      <w:r w:rsidR="00B37ECE" w:rsidRPr="00F04551">
        <w:t>M</w:t>
      </w:r>
      <w:r w:rsidRPr="00F04551">
        <w:t>ining</w:t>
      </w:r>
    </w:p>
    <w:p w14:paraId="1A3FB05A" w14:textId="3AD10439" w:rsidR="006719FA" w:rsidRPr="00F04551" w:rsidRDefault="001863F7" w:rsidP="00E63B31">
      <w:pPr>
        <w:pStyle w:val="THM-Body"/>
      </w:pPr>
      <w:r w:rsidRPr="00F04551">
        <w:t xml:space="preserve">In 1893 there were 67 mines </w:t>
      </w:r>
      <w:r w:rsidR="004C546D" w:rsidRPr="00F04551">
        <w:t xml:space="preserve">in the area </w:t>
      </w:r>
      <w:r w:rsidR="000B0D10" w:rsidRPr="00F04551">
        <w:t xml:space="preserve">producing tin but by 1897 only 31 were still </w:t>
      </w:r>
      <w:r w:rsidR="00E545C8" w:rsidRPr="00F04551">
        <w:t>in production</w:t>
      </w:r>
      <w:r w:rsidR="000B0D10" w:rsidRPr="00F04551">
        <w:t xml:space="preserve">. </w:t>
      </w:r>
      <w:r w:rsidR="00B75781" w:rsidRPr="00F04551">
        <w:t xml:space="preserve">Discoveries of </w:t>
      </w:r>
      <w:r w:rsidR="002E60D7" w:rsidRPr="00F04551">
        <w:t>massive</w:t>
      </w:r>
      <w:r w:rsidR="00B75781" w:rsidRPr="00F04551">
        <w:t xml:space="preserve"> mineral deposits in the New World caused </w:t>
      </w:r>
      <w:r w:rsidRPr="00F04551">
        <w:t>many</w:t>
      </w:r>
      <w:r w:rsidR="00B75781" w:rsidRPr="00F04551">
        <w:t xml:space="preserve"> people</w:t>
      </w:r>
      <w:r w:rsidRPr="00F04551">
        <w:t xml:space="preserve"> to pack up and leave in search of </w:t>
      </w:r>
      <w:r w:rsidR="00B75781" w:rsidRPr="00F04551">
        <w:t>work. Thousands</w:t>
      </w:r>
      <w:r w:rsidR="00F2544F" w:rsidRPr="00F04551">
        <w:t xml:space="preserve"> of miners</w:t>
      </w:r>
      <w:r w:rsidR="00B75781" w:rsidRPr="00F04551">
        <w:t xml:space="preserve"> </w:t>
      </w:r>
      <w:r w:rsidR="00F2544F" w:rsidRPr="00F04551">
        <w:t>migrated</w:t>
      </w:r>
      <w:r w:rsidR="00B75781" w:rsidRPr="00F04551">
        <w:t xml:space="preserve"> overseas</w:t>
      </w:r>
      <w:r w:rsidR="00044F98" w:rsidRPr="00F04551">
        <w:t xml:space="preserve"> where their </w:t>
      </w:r>
      <w:r w:rsidR="00B75781" w:rsidRPr="00F04551">
        <w:t xml:space="preserve">mining expertise </w:t>
      </w:r>
      <w:r w:rsidR="00044F98" w:rsidRPr="00F04551">
        <w:t xml:space="preserve">was </w:t>
      </w:r>
      <w:r w:rsidR="00B75781" w:rsidRPr="00F04551">
        <w:t xml:space="preserve">much valued in the new </w:t>
      </w:r>
      <w:r w:rsidR="007500AC" w:rsidRPr="00F04551">
        <w:t>world of</w:t>
      </w:r>
      <w:r w:rsidR="00B75781" w:rsidRPr="00F04551">
        <w:t xml:space="preserve"> Australia, South Afric</w:t>
      </w:r>
      <w:r w:rsidR="0060539E" w:rsidRPr="00F04551">
        <w:t>a, North America and even Peru</w:t>
      </w:r>
      <w:r w:rsidR="00A6601C">
        <w:t>.</w:t>
      </w:r>
    </w:p>
    <w:p w14:paraId="185D359A" w14:textId="77777777" w:rsidR="002E60D7" w:rsidRPr="00F04551" w:rsidRDefault="002E60D7" w:rsidP="00E63B31">
      <w:pPr>
        <w:pStyle w:val="THM-Body"/>
        <w:rPr>
          <w:rFonts w:cs="Arial"/>
        </w:rPr>
      </w:pPr>
      <w:r w:rsidRPr="00F04551">
        <w:rPr>
          <w:rFonts w:cs="Arial"/>
        </w:rPr>
        <w:t xml:space="preserve">Several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Pr="00F04551">
        <w:rPr>
          <w:rFonts w:cs="Arial"/>
        </w:rPr>
        <w:t xml:space="preserve">etal prices fell dramatically during </w:t>
      </w:r>
      <w:r w:rsidR="00044F98" w:rsidRPr="00F04551">
        <w:rPr>
          <w:rFonts w:cs="Arial"/>
        </w:rPr>
        <w:t xml:space="preserve">the </w:t>
      </w:r>
      <w:r w:rsidRPr="00F04551">
        <w:rPr>
          <w:rFonts w:cs="Arial"/>
        </w:rPr>
        <w:t>1980s</w:t>
      </w:r>
      <w:r w:rsidR="00044F98" w:rsidRPr="00F04551">
        <w:rPr>
          <w:rFonts w:cs="Arial"/>
        </w:rPr>
        <w:t xml:space="preserve"> and this finally </w:t>
      </w:r>
      <w:r w:rsidR="00044F98" w:rsidRPr="00F04551">
        <w:rPr>
          <w:rFonts w:cs="Arial"/>
        </w:rPr>
        <w:lastRenderedPageBreak/>
        <w:t xml:space="preserve">resulted in the collapse of mining </w:t>
      </w:r>
      <w:r w:rsidR="00F2544F" w:rsidRPr="00F04551">
        <w:rPr>
          <w:rFonts w:cs="Arial"/>
        </w:rPr>
        <w:t xml:space="preserve">at Tawara </w:t>
      </w:r>
      <w:r w:rsidR="00044F98" w:rsidRPr="00F04551">
        <w:rPr>
          <w:rFonts w:cs="Arial"/>
        </w:rPr>
        <w:t>on an industrial scale</w:t>
      </w:r>
      <w:r w:rsidRPr="00F04551">
        <w:rPr>
          <w:rFonts w:cs="Arial"/>
        </w:rPr>
        <w:t xml:space="preserve">. The last </w:t>
      </w:r>
      <w:r w:rsidR="001863F7" w:rsidRPr="00F04551">
        <w:rPr>
          <w:rFonts w:cs="Arial"/>
        </w:rPr>
        <w:t>working tin mine in Europe</w:t>
      </w:r>
      <w:r w:rsidR="00044F98" w:rsidRPr="00F04551">
        <w:rPr>
          <w:rFonts w:cs="Arial"/>
        </w:rPr>
        <w:t xml:space="preserve"> closed</w:t>
      </w:r>
      <w:r w:rsidR="001863F7" w:rsidRPr="00F04551">
        <w:rPr>
          <w:rFonts w:cs="Arial"/>
        </w:rPr>
        <w:t xml:space="preserve"> </w:t>
      </w:r>
      <w:r w:rsidR="006155C9" w:rsidRPr="00F04551">
        <w:rPr>
          <w:rFonts w:cs="Arial"/>
        </w:rPr>
        <w:t>in</w:t>
      </w:r>
      <w:r w:rsidR="001863F7" w:rsidRPr="00F04551">
        <w:rPr>
          <w:rFonts w:cs="Arial"/>
        </w:rPr>
        <w:t xml:space="preserve"> </w:t>
      </w:r>
      <w:r w:rsidR="0060539E" w:rsidRPr="00F04551">
        <w:rPr>
          <w:rFonts w:cs="Arial"/>
        </w:rPr>
        <w:t>1998.</w:t>
      </w:r>
    </w:p>
    <w:p w14:paraId="4ADE24AB" w14:textId="77777777" w:rsidR="007E0707" w:rsidRPr="00F04551" w:rsidRDefault="00D11000" w:rsidP="00E63B31">
      <w:pPr>
        <w:pStyle w:val="THM-Subhead"/>
      </w:pPr>
      <w:r w:rsidRPr="00F04551">
        <w:t>World M</w:t>
      </w:r>
      <w:r w:rsidR="007E0707" w:rsidRPr="00F04551">
        <w:t xml:space="preserve">ining </w:t>
      </w:r>
    </w:p>
    <w:p w14:paraId="47319826" w14:textId="77777777" w:rsidR="007E0707" w:rsidRPr="00F04551" w:rsidRDefault="007E0707" w:rsidP="00E63B31">
      <w:pPr>
        <w:pStyle w:val="THM-Body"/>
        <w:rPr>
          <w:rFonts w:cs="Arial"/>
        </w:rPr>
      </w:pPr>
      <w:r w:rsidRPr="00F04551">
        <w:rPr>
          <w:rFonts w:cs="Arial"/>
        </w:rPr>
        <w:t>Today the world’s top 5 mining countries are:</w:t>
      </w:r>
    </w:p>
    <w:p w14:paraId="54A6D673" w14:textId="77777777" w:rsidR="006B1523" w:rsidRPr="00F04551" w:rsidRDefault="006B1523" w:rsidP="00E63B31">
      <w:pPr>
        <w:pStyle w:val="THM-Body"/>
        <w:numPr>
          <w:ilvl w:val="0"/>
          <w:numId w:val="2"/>
        </w:numPr>
        <w:spacing w:after="0"/>
        <w:ind w:left="1210"/>
        <w:rPr>
          <w:rFonts w:cs="Arial"/>
        </w:rPr>
      </w:pPr>
      <w:r w:rsidRPr="00F04551">
        <w:rPr>
          <w:rFonts w:cs="Arial"/>
        </w:rPr>
        <w:t>Russia – iron, nickel, coal and cobalt</w:t>
      </w:r>
    </w:p>
    <w:p w14:paraId="1F7DE228" w14:textId="77777777" w:rsidR="007E0707" w:rsidRPr="00F04551" w:rsidRDefault="007E0707" w:rsidP="00E63B31">
      <w:pPr>
        <w:pStyle w:val="THM-Body"/>
        <w:numPr>
          <w:ilvl w:val="0"/>
          <w:numId w:val="2"/>
        </w:numPr>
        <w:spacing w:after="0"/>
        <w:ind w:left="1210"/>
        <w:rPr>
          <w:rFonts w:cs="Arial"/>
        </w:rPr>
      </w:pPr>
      <w:r w:rsidRPr="00F04551">
        <w:rPr>
          <w:rFonts w:cs="Arial"/>
        </w:rPr>
        <w:t>South Africa – gold, copper and iron</w:t>
      </w:r>
    </w:p>
    <w:p w14:paraId="3B59CCFB" w14:textId="77777777" w:rsidR="007E0707" w:rsidRPr="00F04551" w:rsidRDefault="00BA66AB" w:rsidP="00E63B31">
      <w:pPr>
        <w:pStyle w:val="THM-Body"/>
        <w:numPr>
          <w:ilvl w:val="0"/>
          <w:numId w:val="2"/>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14:paraId="7F1998B7" w14:textId="77777777" w:rsidR="007E0707" w:rsidRPr="00F04551" w:rsidRDefault="007E0707" w:rsidP="00E63B31">
      <w:pPr>
        <w:pStyle w:val="THM-Body"/>
        <w:numPr>
          <w:ilvl w:val="0"/>
          <w:numId w:val="2"/>
        </w:numPr>
        <w:spacing w:after="0"/>
        <w:ind w:left="1210"/>
        <w:rPr>
          <w:rFonts w:cs="Arial"/>
        </w:rPr>
      </w:pPr>
      <w:r w:rsidRPr="00F04551">
        <w:rPr>
          <w:rFonts w:cs="Arial"/>
        </w:rPr>
        <w:t>Australia – iron, nickel and bauxite</w:t>
      </w:r>
    </w:p>
    <w:p w14:paraId="14049507" w14:textId="77777777" w:rsidR="006B1523" w:rsidRPr="00F04551" w:rsidRDefault="006B1523" w:rsidP="00E63B31">
      <w:pPr>
        <w:pStyle w:val="THM-Body"/>
        <w:numPr>
          <w:ilvl w:val="0"/>
          <w:numId w:val="2"/>
        </w:numPr>
        <w:spacing w:after="0"/>
        <w:ind w:left="1210"/>
        <w:rPr>
          <w:rFonts w:cs="Arial"/>
        </w:rPr>
      </w:pPr>
      <w:r w:rsidRPr="00F04551">
        <w:rPr>
          <w:rFonts w:cs="Arial"/>
        </w:rPr>
        <w:t>China – gold, iron, bauxite, copper</w:t>
      </w:r>
    </w:p>
    <w:p w14:paraId="0ED5DA6E" w14:textId="77777777" w:rsidR="00C051D5" w:rsidRPr="00F04551" w:rsidRDefault="00C051D5" w:rsidP="00E63B31">
      <w:pPr>
        <w:pStyle w:val="THM-Subhead"/>
      </w:pPr>
      <w:r w:rsidRPr="00F04551">
        <w:t>Tin Mining</w:t>
      </w:r>
    </w:p>
    <w:p w14:paraId="3D2959DF" w14:textId="77777777" w:rsidR="002876B0" w:rsidRPr="00F04551" w:rsidRDefault="002876B0" w:rsidP="00E63B31">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4098B71D" w14:textId="352EBF9F" w:rsidR="00BD706D" w:rsidRPr="00BB6CAF" w:rsidRDefault="002E25DA" w:rsidP="00BB6CAF">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actually made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which account for over 70% of global mine output. The largest operating mine currently in Europe is the Neves-Corvo complex in Portugal where both tin and copper are extracted.</w:t>
      </w:r>
    </w:p>
    <w:p w14:paraId="4909F6DB" w14:textId="594ED6F1" w:rsidR="007500AC" w:rsidRPr="00F04551" w:rsidRDefault="007500AC" w:rsidP="00E63B31">
      <w:pPr>
        <w:pStyle w:val="THM-Subhead"/>
      </w:pPr>
      <w:r w:rsidRPr="00F04551">
        <w:t>The Future</w:t>
      </w:r>
    </w:p>
    <w:p w14:paraId="2EFA2B4F" w14:textId="64261B37" w:rsidR="00BD706D" w:rsidRPr="00F04551" w:rsidRDefault="007500AC" w:rsidP="00BD706D">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in particular has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r w:rsidR="00BD706D">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133"/>
        <w:gridCol w:w="1509"/>
        <w:gridCol w:w="1234"/>
        <w:gridCol w:w="1309"/>
      </w:tblGrid>
      <w:tr w:rsidR="00E63B31" w:rsidRPr="00E63B31" w14:paraId="5F676F93" w14:textId="77777777" w:rsidTr="00E63B31">
        <w:trPr>
          <w:trHeight w:val="300"/>
        </w:trPr>
        <w:tc>
          <w:tcPr>
            <w:tcW w:w="5000" w:type="pct"/>
            <w:gridSpan w:val="5"/>
            <w:shd w:val="clear" w:color="auto" w:fill="000000" w:themeFill="text1"/>
            <w:noWrap/>
            <w:vAlign w:val="center"/>
            <w:hideMark/>
          </w:tcPr>
          <w:p w14:paraId="1DE7C46E" w14:textId="5088E563" w:rsidR="00E63B31" w:rsidRPr="00E63B31" w:rsidRDefault="00E63B31" w:rsidP="00E63B31">
            <w:pPr>
              <w:jc w:val="center"/>
              <w:rPr>
                <w:rFonts w:ascii="Times New Roman" w:eastAsia="Times New Roman" w:hAnsi="Times New Roman"/>
                <w:b/>
                <w:bCs/>
                <w:i/>
                <w:iCs/>
                <w:color w:val="FFFFFF" w:themeColor="background1"/>
                <w:sz w:val="28"/>
                <w:szCs w:val="28"/>
                <w:lang w:val="en-US"/>
              </w:rPr>
            </w:pPr>
            <w:r w:rsidRPr="00E63B31">
              <w:rPr>
                <w:rFonts w:ascii="Aptos Narrow" w:eastAsia="Times New Roman" w:hAnsi="Aptos Narrow"/>
                <w:b/>
                <w:bCs/>
                <w:i/>
                <w:iCs/>
                <w:color w:val="FFFFFF" w:themeColor="background1"/>
                <w:sz w:val="28"/>
                <w:szCs w:val="28"/>
                <w:lang w:val="en-US"/>
              </w:rPr>
              <w:t>BASE METAL PRICE USD</w:t>
            </w:r>
          </w:p>
        </w:tc>
      </w:tr>
      <w:tr w:rsidR="00E63B31" w:rsidRPr="00E63B31" w14:paraId="3D065336" w14:textId="77777777" w:rsidTr="00E63B31">
        <w:trPr>
          <w:trHeight w:val="300"/>
        </w:trPr>
        <w:tc>
          <w:tcPr>
            <w:tcW w:w="1134" w:type="pct"/>
            <w:noWrap/>
            <w:vAlign w:val="bottom"/>
            <w:hideMark/>
          </w:tcPr>
          <w:p w14:paraId="1E303C69" w14:textId="77777777" w:rsidR="00E63B31" w:rsidRPr="00E63B31" w:rsidRDefault="00E63B31" w:rsidP="00E63B31">
            <w:pPr>
              <w:pStyle w:val="THM-Table"/>
              <w:rPr>
                <w:rFonts w:eastAsia="Times New Roman"/>
                <w:lang w:val="en-US"/>
              </w:rPr>
            </w:pPr>
            <w:r w:rsidRPr="00E63B31">
              <w:rPr>
                <w:rFonts w:eastAsia="Times New Roman"/>
                <w:lang w:val="en-US"/>
              </w:rPr>
              <w:t>Metal name</w:t>
            </w:r>
          </w:p>
        </w:tc>
        <w:tc>
          <w:tcPr>
            <w:tcW w:w="845" w:type="pct"/>
            <w:noWrap/>
            <w:vAlign w:val="bottom"/>
            <w:hideMark/>
          </w:tcPr>
          <w:p w14:paraId="3B8A5219" w14:textId="77777777" w:rsidR="00E63B31" w:rsidRPr="00E63B31" w:rsidRDefault="00E63B31" w:rsidP="00E63B31">
            <w:pPr>
              <w:pStyle w:val="THM-Table"/>
              <w:rPr>
                <w:rFonts w:eastAsia="Times New Roman"/>
                <w:lang w:val="en-US"/>
              </w:rPr>
            </w:pPr>
            <w:r w:rsidRPr="00E63B31">
              <w:rPr>
                <w:rFonts w:eastAsia="Times New Roman"/>
                <w:lang w:val="en-US"/>
              </w:rPr>
              <w:t>Price/kg</w:t>
            </w:r>
          </w:p>
        </w:tc>
        <w:tc>
          <w:tcPr>
            <w:tcW w:w="1125" w:type="pct"/>
            <w:noWrap/>
            <w:vAlign w:val="bottom"/>
            <w:hideMark/>
          </w:tcPr>
          <w:p w14:paraId="447C6DA3" w14:textId="77777777" w:rsidR="00E63B31" w:rsidRPr="00E63B31" w:rsidRDefault="00E63B31" w:rsidP="00E63B31">
            <w:pPr>
              <w:pStyle w:val="THM-Table"/>
              <w:rPr>
                <w:rFonts w:eastAsia="Times New Roman"/>
                <w:lang w:val="en-US"/>
              </w:rPr>
            </w:pPr>
            <w:r w:rsidRPr="00E63B31">
              <w:rPr>
                <w:rFonts w:eastAsia="Times New Roman"/>
                <w:lang w:val="en-US"/>
              </w:rPr>
              <w:t>Price/tonne</w:t>
            </w:r>
          </w:p>
        </w:tc>
        <w:tc>
          <w:tcPr>
            <w:tcW w:w="920" w:type="pct"/>
            <w:noWrap/>
            <w:vAlign w:val="bottom"/>
            <w:hideMark/>
          </w:tcPr>
          <w:p w14:paraId="73EF9A88" w14:textId="77777777" w:rsidR="00E63B31" w:rsidRPr="00E63B31" w:rsidRDefault="00E63B31" w:rsidP="00E63B31">
            <w:pPr>
              <w:pStyle w:val="THM-Table"/>
              <w:rPr>
                <w:rFonts w:eastAsia="Times New Roman"/>
                <w:lang w:val="en-US"/>
              </w:rPr>
            </w:pPr>
            <w:r w:rsidRPr="00E63B31">
              <w:rPr>
                <w:rFonts w:eastAsia="Times New Roman"/>
                <w:lang w:val="en-US"/>
              </w:rPr>
              <w:t>Price low</w:t>
            </w:r>
          </w:p>
        </w:tc>
        <w:tc>
          <w:tcPr>
            <w:tcW w:w="977" w:type="pct"/>
            <w:noWrap/>
            <w:vAlign w:val="bottom"/>
            <w:hideMark/>
          </w:tcPr>
          <w:p w14:paraId="4A085734" w14:textId="77777777" w:rsidR="00E63B31" w:rsidRPr="00E63B31" w:rsidRDefault="00E63B31" w:rsidP="00E63B31">
            <w:pPr>
              <w:pStyle w:val="THM-Table"/>
              <w:rPr>
                <w:rFonts w:eastAsia="Times New Roman"/>
                <w:lang w:val="en-US"/>
              </w:rPr>
            </w:pPr>
            <w:r w:rsidRPr="00E63B31">
              <w:rPr>
                <w:rFonts w:eastAsia="Times New Roman"/>
                <w:lang w:val="en-US"/>
              </w:rPr>
              <w:t>Price high</w:t>
            </w:r>
          </w:p>
        </w:tc>
      </w:tr>
      <w:tr w:rsidR="00E63B31" w:rsidRPr="00E63B31" w14:paraId="5589BCC0" w14:textId="77777777" w:rsidTr="00E63B31">
        <w:trPr>
          <w:trHeight w:val="300"/>
        </w:trPr>
        <w:tc>
          <w:tcPr>
            <w:tcW w:w="1134" w:type="pct"/>
            <w:noWrap/>
            <w:vAlign w:val="bottom"/>
            <w:hideMark/>
          </w:tcPr>
          <w:p w14:paraId="36B318FB" w14:textId="77777777" w:rsidR="00E63B31" w:rsidRPr="00E63B31" w:rsidRDefault="00E63B31" w:rsidP="00E63B31">
            <w:pPr>
              <w:pStyle w:val="THM-Table"/>
              <w:rPr>
                <w:rFonts w:eastAsia="Times New Roman"/>
                <w:lang w:val="en-US"/>
              </w:rPr>
            </w:pPr>
            <w:r w:rsidRPr="00E63B31">
              <w:rPr>
                <w:rFonts w:eastAsia="Times New Roman"/>
                <w:lang w:val="en-US"/>
              </w:rPr>
              <w:t>Aluminium</w:t>
            </w:r>
          </w:p>
        </w:tc>
        <w:tc>
          <w:tcPr>
            <w:tcW w:w="845" w:type="pct"/>
            <w:noWrap/>
            <w:vAlign w:val="bottom"/>
            <w:hideMark/>
          </w:tcPr>
          <w:p w14:paraId="0FD23146" w14:textId="77777777" w:rsidR="00E63B31" w:rsidRPr="00E63B31" w:rsidRDefault="00E63B31" w:rsidP="00E63B31">
            <w:pPr>
              <w:pStyle w:val="THM-Table"/>
              <w:rPr>
                <w:rFonts w:eastAsia="Times New Roman"/>
                <w:lang w:val="en-US"/>
              </w:rPr>
            </w:pPr>
            <w:r w:rsidRPr="00E63B31">
              <w:rPr>
                <w:rFonts w:eastAsia="Times New Roman"/>
                <w:lang w:val="en-US"/>
              </w:rPr>
              <w:t>1.74</w:t>
            </w:r>
          </w:p>
        </w:tc>
        <w:tc>
          <w:tcPr>
            <w:tcW w:w="1125" w:type="pct"/>
            <w:noWrap/>
            <w:vAlign w:val="bottom"/>
            <w:hideMark/>
          </w:tcPr>
          <w:p w14:paraId="0DB906FA" w14:textId="77777777" w:rsidR="00E63B31" w:rsidRPr="00E63B31" w:rsidRDefault="00E63B31" w:rsidP="00E63B31">
            <w:pPr>
              <w:pStyle w:val="THM-Table"/>
              <w:rPr>
                <w:rFonts w:eastAsia="Times New Roman"/>
                <w:lang w:val="en-US"/>
              </w:rPr>
            </w:pPr>
            <w:r w:rsidRPr="00E63B31">
              <w:rPr>
                <w:rFonts w:eastAsia="Times New Roman"/>
                <w:lang w:val="en-US"/>
              </w:rPr>
              <w:t>1635.01</w:t>
            </w:r>
          </w:p>
        </w:tc>
        <w:tc>
          <w:tcPr>
            <w:tcW w:w="920" w:type="pct"/>
            <w:noWrap/>
            <w:vAlign w:val="bottom"/>
            <w:hideMark/>
          </w:tcPr>
          <w:p w14:paraId="46E83CCD" w14:textId="77777777" w:rsidR="00E63B31" w:rsidRPr="00E63B31" w:rsidRDefault="00E63B31" w:rsidP="00E63B31">
            <w:pPr>
              <w:pStyle w:val="THM-Table"/>
              <w:rPr>
                <w:rFonts w:eastAsia="Times New Roman"/>
                <w:lang w:val="en-US"/>
              </w:rPr>
            </w:pPr>
            <w:r w:rsidRPr="00E63B31">
              <w:rPr>
                <w:rFonts w:eastAsia="Times New Roman"/>
                <w:lang w:val="en-US"/>
              </w:rPr>
              <w:t>1.55</w:t>
            </w:r>
          </w:p>
        </w:tc>
        <w:tc>
          <w:tcPr>
            <w:tcW w:w="977" w:type="pct"/>
            <w:noWrap/>
            <w:vAlign w:val="bottom"/>
            <w:hideMark/>
          </w:tcPr>
          <w:p w14:paraId="567159AA" w14:textId="77777777" w:rsidR="00E63B31" w:rsidRPr="00E63B31" w:rsidRDefault="00E63B31" w:rsidP="00E63B31">
            <w:pPr>
              <w:pStyle w:val="THM-Table"/>
              <w:rPr>
                <w:rFonts w:eastAsia="Times New Roman"/>
                <w:lang w:val="en-US"/>
              </w:rPr>
            </w:pPr>
            <w:r w:rsidRPr="00E63B31">
              <w:rPr>
                <w:rFonts w:eastAsia="Times New Roman"/>
                <w:lang w:val="en-US"/>
              </w:rPr>
              <w:t>1.74</w:t>
            </w:r>
          </w:p>
        </w:tc>
      </w:tr>
      <w:tr w:rsidR="00E63B31" w:rsidRPr="00E63B31" w14:paraId="063AED46" w14:textId="77777777" w:rsidTr="00E63B31">
        <w:trPr>
          <w:trHeight w:val="300"/>
        </w:trPr>
        <w:tc>
          <w:tcPr>
            <w:tcW w:w="1134" w:type="pct"/>
            <w:noWrap/>
            <w:vAlign w:val="bottom"/>
            <w:hideMark/>
          </w:tcPr>
          <w:p w14:paraId="201B0478" w14:textId="77777777" w:rsidR="00E63B31" w:rsidRPr="00E63B31" w:rsidRDefault="00E63B31" w:rsidP="00E63B31">
            <w:pPr>
              <w:pStyle w:val="THM-Table"/>
              <w:rPr>
                <w:rFonts w:eastAsia="Times New Roman"/>
                <w:lang w:val="en-US"/>
              </w:rPr>
            </w:pPr>
            <w:r w:rsidRPr="00E63B31">
              <w:rPr>
                <w:rFonts w:eastAsia="Times New Roman"/>
                <w:lang w:val="en-US"/>
              </w:rPr>
              <w:t>Copper</w:t>
            </w:r>
          </w:p>
        </w:tc>
        <w:tc>
          <w:tcPr>
            <w:tcW w:w="845" w:type="pct"/>
            <w:noWrap/>
            <w:vAlign w:val="bottom"/>
            <w:hideMark/>
          </w:tcPr>
          <w:p w14:paraId="47872697" w14:textId="77777777" w:rsidR="00E63B31" w:rsidRPr="00E63B31" w:rsidRDefault="00E63B31" w:rsidP="00E63B31">
            <w:pPr>
              <w:pStyle w:val="THM-Table"/>
              <w:rPr>
                <w:rFonts w:eastAsia="Times New Roman"/>
                <w:lang w:val="en-US"/>
              </w:rPr>
            </w:pPr>
            <w:r w:rsidRPr="00E63B31">
              <w:rPr>
                <w:rFonts w:eastAsia="Times New Roman"/>
                <w:lang w:val="en-US"/>
              </w:rPr>
              <w:t>5.11</w:t>
            </w:r>
          </w:p>
        </w:tc>
        <w:tc>
          <w:tcPr>
            <w:tcW w:w="1125" w:type="pct"/>
            <w:noWrap/>
            <w:vAlign w:val="bottom"/>
            <w:hideMark/>
          </w:tcPr>
          <w:p w14:paraId="26E05522" w14:textId="77777777" w:rsidR="00E63B31" w:rsidRPr="00E63B31" w:rsidRDefault="00E63B31" w:rsidP="00E63B31">
            <w:pPr>
              <w:pStyle w:val="THM-Table"/>
              <w:rPr>
                <w:rFonts w:eastAsia="Times New Roman"/>
                <w:lang w:val="en-US"/>
              </w:rPr>
            </w:pPr>
            <w:r w:rsidRPr="00E63B31">
              <w:rPr>
                <w:rFonts w:eastAsia="Times New Roman"/>
                <w:lang w:val="en-US"/>
              </w:rPr>
              <w:t>4885.02</w:t>
            </w:r>
          </w:p>
        </w:tc>
        <w:tc>
          <w:tcPr>
            <w:tcW w:w="920" w:type="pct"/>
            <w:noWrap/>
            <w:vAlign w:val="bottom"/>
            <w:hideMark/>
          </w:tcPr>
          <w:p w14:paraId="2A0FB47C" w14:textId="77777777" w:rsidR="00E63B31" w:rsidRPr="00E63B31" w:rsidRDefault="00E63B31" w:rsidP="00E63B31">
            <w:pPr>
              <w:pStyle w:val="THM-Table"/>
              <w:rPr>
                <w:rFonts w:eastAsia="Times New Roman"/>
                <w:lang w:val="en-US"/>
              </w:rPr>
            </w:pPr>
            <w:r w:rsidRPr="00E63B31">
              <w:rPr>
                <w:rFonts w:eastAsia="Times New Roman"/>
                <w:lang w:val="en-US"/>
              </w:rPr>
              <w:t>4.55</w:t>
            </w:r>
          </w:p>
        </w:tc>
        <w:tc>
          <w:tcPr>
            <w:tcW w:w="977" w:type="pct"/>
            <w:noWrap/>
            <w:vAlign w:val="bottom"/>
            <w:hideMark/>
          </w:tcPr>
          <w:p w14:paraId="378BB8BD" w14:textId="77777777" w:rsidR="00E63B31" w:rsidRPr="00E63B31" w:rsidRDefault="00E63B31" w:rsidP="00E63B31">
            <w:pPr>
              <w:pStyle w:val="THM-Table"/>
              <w:rPr>
                <w:rFonts w:eastAsia="Times New Roman"/>
                <w:lang w:val="en-US"/>
              </w:rPr>
            </w:pPr>
            <w:r w:rsidRPr="00E63B31">
              <w:rPr>
                <w:rFonts w:eastAsia="Times New Roman"/>
                <w:lang w:val="en-US"/>
              </w:rPr>
              <w:t>5.63</w:t>
            </w:r>
          </w:p>
        </w:tc>
      </w:tr>
      <w:tr w:rsidR="00E63B31" w:rsidRPr="00E63B31" w14:paraId="6E2FA5BE" w14:textId="77777777" w:rsidTr="00E63B31">
        <w:trPr>
          <w:trHeight w:val="300"/>
        </w:trPr>
        <w:tc>
          <w:tcPr>
            <w:tcW w:w="1134" w:type="pct"/>
            <w:noWrap/>
            <w:vAlign w:val="bottom"/>
            <w:hideMark/>
          </w:tcPr>
          <w:p w14:paraId="1DAD5C44" w14:textId="77777777" w:rsidR="00E63B31" w:rsidRPr="00E63B31" w:rsidRDefault="00E63B31" w:rsidP="00E63B31">
            <w:pPr>
              <w:pStyle w:val="THM-Table"/>
              <w:rPr>
                <w:rFonts w:eastAsia="Times New Roman"/>
                <w:lang w:val="en-US"/>
              </w:rPr>
            </w:pPr>
            <w:r w:rsidRPr="00E63B31">
              <w:rPr>
                <w:rFonts w:eastAsia="Times New Roman"/>
                <w:lang w:val="en-US"/>
              </w:rPr>
              <w:t>Lead</w:t>
            </w:r>
          </w:p>
        </w:tc>
        <w:tc>
          <w:tcPr>
            <w:tcW w:w="845" w:type="pct"/>
            <w:noWrap/>
            <w:vAlign w:val="bottom"/>
            <w:hideMark/>
          </w:tcPr>
          <w:p w14:paraId="1EB95B45" w14:textId="77777777" w:rsidR="00E63B31" w:rsidRPr="00E63B31" w:rsidRDefault="00E63B31" w:rsidP="00E63B31">
            <w:pPr>
              <w:pStyle w:val="THM-Table"/>
              <w:rPr>
                <w:rFonts w:eastAsia="Times New Roman"/>
                <w:lang w:val="en-US"/>
              </w:rPr>
            </w:pPr>
            <w:r w:rsidRPr="00E63B31">
              <w:rPr>
                <w:rFonts w:eastAsia="Times New Roman"/>
                <w:lang w:val="en-US"/>
              </w:rPr>
              <w:t>1.88</w:t>
            </w:r>
          </w:p>
        </w:tc>
        <w:tc>
          <w:tcPr>
            <w:tcW w:w="1125" w:type="pct"/>
            <w:noWrap/>
            <w:vAlign w:val="bottom"/>
            <w:hideMark/>
          </w:tcPr>
          <w:p w14:paraId="47EF333E" w14:textId="77777777" w:rsidR="00E63B31" w:rsidRPr="00E63B31" w:rsidRDefault="00E63B31" w:rsidP="00E63B31">
            <w:pPr>
              <w:pStyle w:val="THM-Table"/>
              <w:rPr>
                <w:rFonts w:eastAsia="Times New Roman"/>
                <w:lang w:val="en-US"/>
              </w:rPr>
            </w:pPr>
            <w:r w:rsidRPr="00E63B31">
              <w:rPr>
                <w:rFonts w:eastAsia="Times New Roman"/>
                <w:lang w:val="en-US"/>
              </w:rPr>
              <w:t>1817.51</w:t>
            </w:r>
          </w:p>
        </w:tc>
        <w:tc>
          <w:tcPr>
            <w:tcW w:w="920" w:type="pct"/>
            <w:noWrap/>
            <w:vAlign w:val="bottom"/>
            <w:hideMark/>
          </w:tcPr>
          <w:p w14:paraId="5C781A82" w14:textId="77777777" w:rsidR="00E63B31" w:rsidRPr="00E63B31" w:rsidRDefault="00E63B31" w:rsidP="00E63B31">
            <w:pPr>
              <w:pStyle w:val="THM-Table"/>
              <w:rPr>
                <w:rFonts w:eastAsia="Times New Roman"/>
                <w:lang w:val="en-US"/>
              </w:rPr>
            </w:pPr>
            <w:r w:rsidRPr="00E63B31">
              <w:rPr>
                <w:rFonts w:eastAsia="Times New Roman"/>
                <w:lang w:val="en-US"/>
              </w:rPr>
              <w:t>1.63</w:t>
            </w:r>
          </w:p>
        </w:tc>
        <w:tc>
          <w:tcPr>
            <w:tcW w:w="977" w:type="pct"/>
            <w:noWrap/>
            <w:vAlign w:val="bottom"/>
            <w:hideMark/>
          </w:tcPr>
          <w:p w14:paraId="069DC8DE" w14:textId="77777777" w:rsidR="00E63B31" w:rsidRPr="00E63B31" w:rsidRDefault="00E63B31" w:rsidP="00E63B31">
            <w:pPr>
              <w:pStyle w:val="THM-Table"/>
              <w:rPr>
                <w:rFonts w:eastAsia="Times New Roman"/>
                <w:lang w:val="en-US"/>
              </w:rPr>
            </w:pPr>
            <w:r w:rsidRPr="00E63B31">
              <w:rPr>
                <w:rFonts w:eastAsia="Times New Roman"/>
                <w:lang w:val="en-US"/>
              </w:rPr>
              <w:t>1.97</w:t>
            </w:r>
          </w:p>
        </w:tc>
      </w:tr>
      <w:tr w:rsidR="00E63B31" w:rsidRPr="00E63B31" w14:paraId="446B3BEC" w14:textId="77777777" w:rsidTr="00E63B31">
        <w:trPr>
          <w:trHeight w:val="300"/>
        </w:trPr>
        <w:tc>
          <w:tcPr>
            <w:tcW w:w="1134" w:type="pct"/>
            <w:noWrap/>
            <w:vAlign w:val="bottom"/>
          </w:tcPr>
          <w:p w14:paraId="68D0DDF4" w14:textId="3A900226" w:rsidR="00E63B31" w:rsidRPr="00E63B31" w:rsidRDefault="00E63B31" w:rsidP="00E63B31">
            <w:pPr>
              <w:pStyle w:val="THM-Table"/>
              <w:rPr>
                <w:rFonts w:eastAsia="Times New Roman"/>
                <w:lang w:val="en-US"/>
              </w:rPr>
            </w:pPr>
            <w:r>
              <w:rPr>
                <w:rFonts w:eastAsia="Times New Roman"/>
                <w:lang w:val="en-US"/>
              </w:rPr>
              <w:t>Nickel</w:t>
            </w:r>
          </w:p>
        </w:tc>
        <w:tc>
          <w:tcPr>
            <w:tcW w:w="845" w:type="pct"/>
            <w:noWrap/>
            <w:vAlign w:val="bottom"/>
          </w:tcPr>
          <w:p w14:paraId="2FDFCA2F" w14:textId="42D13FAB" w:rsidR="00E63B31" w:rsidRPr="00E63B31" w:rsidRDefault="00E63B31" w:rsidP="00E63B31">
            <w:pPr>
              <w:pStyle w:val="THM-Table"/>
              <w:rPr>
                <w:rFonts w:eastAsia="Times New Roman"/>
                <w:lang w:val="en-US"/>
              </w:rPr>
            </w:pPr>
            <w:r>
              <w:rPr>
                <w:rFonts w:eastAsia="Times New Roman"/>
                <w:lang w:val="en-US"/>
              </w:rPr>
              <w:t>11.27</w:t>
            </w:r>
          </w:p>
        </w:tc>
        <w:tc>
          <w:tcPr>
            <w:tcW w:w="1125" w:type="pct"/>
            <w:noWrap/>
            <w:vAlign w:val="bottom"/>
          </w:tcPr>
          <w:p w14:paraId="375C402C" w14:textId="7BB0DFDC" w:rsidR="00E63B31" w:rsidRPr="00E63B31" w:rsidRDefault="00E63B31" w:rsidP="00E63B31">
            <w:pPr>
              <w:pStyle w:val="THM-Table"/>
              <w:rPr>
                <w:rFonts w:eastAsia="Times New Roman"/>
                <w:lang w:val="en-US"/>
              </w:rPr>
            </w:pPr>
            <w:r>
              <w:rPr>
                <w:rFonts w:eastAsia="Times New Roman"/>
                <w:lang w:val="en-US"/>
              </w:rPr>
              <w:t>10749.13</w:t>
            </w:r>
          </w:p>
        </w:tc>
        <w:tc>
          <w:tcPr>
            <w:tcW w:w="920" w:type="pct"/>
            <w:noWrap/>
            <w:vAlign w:val="bottom"/>
          </w:tcPr>
          <w:p w14:paraId="69169C51" w14:textId="4B0E0697" w:rsidR="00E63B31" w:rsidRPr="00E63B31" w:rsidRDefault="00E63B31" w:rsidP="00E63B31">
            <w:pPr>
              <w:pStyle w:val="THM-Table"/>
              <w:rPr>
                <w:rFonts w:eastAsia="Times New Roman"/>
                <w:lang w:val="en-US"/>
              </w:rPr>
            </w:pPr>
            <w:r>
              <w:rPr>
                <w:rFonts w:eastAsia="Times New Roman"/>
                <w:lang w:val="en-US"/>
              </w:rPr>
              <w:t>8.05</w:t>
            </w:r>
          </w:p>
        </w:tc>
        <w:tc>
          <w:tcPr>
            <w:tcW w:w="977" w:type="pct"/>
            <w:noWrap/>
            <w:vAlign w:val="bottom"/>
          </w:tcPr>
          <w:p w14:paraId="2377C271" w14:textId="559A1CA5" w:rsidR="00E63B31" w:rsidRPr="00E63B31" w:rsidRDefault="00E63B31" w:rsidP="00E63B31">
            <w:pPr>
              <w:pStyle w:val="THM-Table"/>
              <w:rPr>
                <w:rFonts w:eastAsia="Times New Roman"/>
                <w:lang w:val="en-US"/>
              </w:rPr>
            </w:pPr>
            <w:r>
              <w:rPr>
                <w:rFonts w:eastAsia="Times New Roman"/>
                <w:lang w:val="en-US"/>
              </w:rPr>
              <w:t>11.48</w:t>
            </w:r>
          </w:p>
        </w:tc>
      </w:tr>
      <w:tr w:rsidR="00E63B31" w:rsidRPr="00E63B31" w14:paraId="0C401C2C" w14:textId="77777777" w:rsidTr="00E63B31">
        <w:trPr>
          <w:trHeight w:val="300"/>
        </w:trPr>
        <w:tc>
          <w:tcPr>
            <w:tcW w:w="1134" w:type="pct"/>
            <w:noWrap/>
            <w:vAlign w:val="bottom"/>
            <w:hideMark/>
          </w:tcPr>
          <w:p w14:paraId="34F65399" w14:textId="77777777" w:rsidR="00E63B31" w:rsidRPr="00E63B31" w:rsidRDefault="00E63B31" w:rsidP="00E63B31">
            <w:pPr>
              <w:pStyle w:val="THM-Table"/>
              <w:rPr>
                <w:rFonts w:eastAsia="Times New Roman"/>
                <w:lang w:val="en-US"/>
              </w:rPr>
            </w:pPr>
            <w:r w:rsidRPr="00E63B31">
              <w:rPr>
                <w:rFonts w:eastAsia="Times New Roman"/>
                <w:lang w:val="en-US"/>
              </w:rPr>
              <w:t>Tin</w:t>
            </w:r>
          </w:p>
        </w:tc>
        <w:tc>
          <w:tcPr>
            <w:tcW w:w="845" w:type="pct"/>
            <w:noWrap/>
            <w:vAlign w:val="bottom"/>
            <w:hideMark/>
          </w:tcPr>
          <w:p w14:paraId="68F1EBDF" w14:textId="77777777" w:rsidR="00E63B31" w:rsidRPr="00E63B31" w:rsidRDefault="00E63B31" w:rsidP="00E63B31">
            <w:pPr>
              <w:pStyle w:val="THM-Table"/>
              <w:rPr>
                <w:rFonts w:eastAsia="Times New Roman"/>
                <w:lang w:val="en-US"/>
              </w:rPr>
            </w:pPr>
            <w:r w:rsidRPr="00E63B31">
              <w:rPr>
                <w:rFonts w:eastAsia="Times New Roman"/>
                <w:lang w:val="en-US"/>
              </w:rPr>
              <w:t>18.77</w:t>
            </w:r>
          </w:p>
        </w:tc>
        <w:tc>
          <w:tcPr>
            <w:tcW w:w="1125" w:type="pct"/>
            <w:noWrap/>
            <w:vAlign w:val="bottom"/>
            <w:hideMark/>
          </w:tcPr>
          <w:p w14:paraId="23F2BB4E" w14:textId="77777777" w:rsidR="00E63B31" w:rsidRPr="00E63B31" w:rsidRDefault="00E63B31" w:rsidP="00E63B31">
            <w:pPr>
              <w:pStyle w:val="THM-Table"/>
              <w:rPr>
                <w:rFonts w:eastAsia="Times New Roman"/>
                <w:lang w:val="en-US"/>
              </w:rPr>
            </w:pPr>
            <w:r w:rsidRPr="00E63B31">
              <w:rPr>
                <w:rFonts w:eastAsia="Times New Roman"/>
                <w:lang w:val="en-US"/>
              </w:rPr>
              <w:t>17965.03</w:t>
            </w:r>
          </w:p>
        </w:tc>
        <w:tc>
          <w:tcPr>
            <w:tcW w:w="920" w:type="pct"/>
            <w:noWrap/>
            <w:vAlign w:val="bottom"/>
            <w:hideMark/>
          </w:tcPr>
          <w:p w14:paraId="080C9CD2" w14:textId="77777777" w:rsidR="00E63B31" w:rsidRPr="00E63B31" w:rsidRDefault="00E63B31" w:rsidP="00E63B31">
            <w:pPr>
              <w:pStyle w:val="THM-Table"/>
              <w:rPr>
                <w:rFonts w:eastAsia="Times New Roman"/>
                <w:lang w:val="en-US"/>
              </w:rPr>
            </w:pPr>
            <w:r w:rsidRPr="00E63B31">
              <w:rPr>
                <w:rFonts w:eastAsia="Times New Roman"/>
                <w:lang w:val="en-US"/>
              </w:rPr>
              <w:t>14.01</w:t>
            </w:r>
          </w:p>
        </w:tc>
        <w:tc>
          <w:tcPr>
            <w:tcW w:w="977" w:type="pct"/>
            <w:noWrap/>
            <w:vAlign w:val="bottom"/>
            <w:hideMark/>
          </w:tcPr>
          <w:p w14:paraId="66E8CE52" w14:textId="77777777" w:rsidR="00E63B31" w:rsidRPr="00E63B31" w:rsidRDefault="00E63B31" w:rsidP="00E63B31">
            <w:pPr>
              <w:pStyle w:val="THM-Table"/>
              <w:rPr>
                <w:rFonts w:eastAsia="Times New Roman"/>
                <w:lang w:val="en-US"/>
              </w:rPr>
            </w:pPr>
            <w:r w:rsidRPr="00E63B31">
              <w:rPr>
                <w:rFonts w:eastAsia="Times New Roman"/>
                <w:lang w:val="en-US"/>
              </w:rPr>
              <w:t>19.01</w:t>
            </w:r>
          </w:p>
        </w:tc>
      </w:tr>
      <w:tr w:rsidR="00E63B31" w:rsidRPr="00E63B31" w14:paraId="5DF2BC29" w14:textId="77777777" w:rsidTr="00E63B31">
        <w:trPr>
          <w:trHeight w:val="300"/>
        </w:trPr>
        <w:tc>
          <w:tcPr>
            <w:tcW w:w="1134" w:type="pct"/>
            <w:noWrap/>
            <w:vAlign w:val="bottom"/>
            <w:hideMark/>
          </w:tcPr>
          <w:p w14:paraId="12858B8B" w14:textId="77777777" w:rsidR="00E63B31" w:rsidRPr="00E63B31" w:rsidRDefault="00E63B31" w:rsidP="00E63B31">
            <w:pPr>
              <w:pStyle w:val="THM-Table"/>
              <w:rPr>
                <w:rFonts w:eastAsia="Times New Roman"/>
                <w:lang w:val="en-US"/>
              </w:rPr>
            </w:pPr>
            <w:r w:rsidRPr="00E63B31">
              <w:rPr>
                <w:rFonts w:eastAsia="Times New Roman"/>
                <w:lang w:val="en-US"/>
              </w:rPr>
              <w:t>Zinc</w:t>
            </w:r>
          </w:p>
        </w:tc>
        <w:tc>
          <w:tcPr>
            <w:tcW w:w="845" w:type="pct"/>
            <w:noWrap/>
            <w:vAlign w:val="bottom"/>
            <w:hideMark/>
          </w:tcPr>
          <w:p w14:paraId="284718E2" w14:textId="77777777" w:rsidR="00E63B31" w:rsidRPr="00E63B31" w:rsidRDefault="00E63B31" w:rsidP="00E63B31">
            <w:pPr>
              <w:pStyle w:val="THM-Table"/>
              <w:rPr>
                <w:rFonts w:eastAsia="Times New Roman"/>
                <w:lang w:val="en-US"/>
              </w:rPr>
            </w:pPr>
            <w:r w:rsidRPr="00E63B31">
              <w:rPr>
                <w:rFonts w:eastAsia="Times New Roman"/>
                <w:lang w:val="en-US"/>
              </w:rPr>
              <w:t>2.35</w:t>
            </w:r>
          </w:p>
        </w:tc>
        <w:tc>
          <w:tcPr>
            <w:tcW w:w="1125" w:type="pct"/>
            <w:noWrap/>
            <w:vAlign w:val="bottom"/>
            <w:hideMark/>
          </w:tcPr>
          <w:p w14:paraId="4A925138" w14:textId="77777777" w:rsidR="00E63B31" w:rsidRPr="00E63B31" w:rsidRDefault="00E63B31" w:rsidP="00E63B31">
            <w:pPr>
              <w:pStyle w:val="THM-Table"/>
              <w:rPr>
                <w:rFonts w:eastAsia="Times New Roman"/>
                <w:lang w:val="en-US"/>
              </w:rPr>
            </w:pPr>
            <w:r w:rsidRPr="00E63B31">
              <w:rPr>
                <w:rFonts w:eastAsia="Times New Roman"/>
                <w:lang w:val="en-US"/>
              </w:rPr>
              <w:t>2280.91</w:t>
            </w:r>
          </w:p>
        </w:tc>
        <w:tc>
          <w:tcPr>
            <w:tcW w:w="920" w:type="pct"/>
            <w:noWrap/>
            <w:vAlign w:val="bottom"/>
            <w:hideMark/>
          </w:tcPr>
          <w:p w14:paraId="1C7CC6ED" w14:textId="77777777" w:rsidR="00E63B31" w:rsidRPr="00E63B31" w:rsidRDefault="00E63B31" w:rsidP="00E63B31">
            <w:pPr>
              <w:pStyle w:val="THM-Table"/>
              <w:rPr>
                <w:rFonts w:eastAsia="Times New Roman"/>
                <w:lang w:val="en-US"/>
              </w:rPr>
            </w:pPr>
            <w:r w:rsidRPr="00E63B31">
              <w:rPr>
                <w:rFonts w:eastAsia="Times New Roman"/>
                <w:lang w:val="en-US"/>
              </w:rPr>
              <w:t>1.52</w:t>
            </w:r>
          </w:p>
        </w:tc>
        <w:tc>
          <w:tcPr>
            <w:tcW w:w="977" w:type="pct"/>
            <w:noWrap/>
            <w:vAlign w:val="bottom"/>
            <w:hideMark/>
          </w:tcPr>
          <w:p w14:paraId="79E8402B" w14:textId="77777777" w:rsidR="00E63B31" w:rsidRPr="00E63B31" w:rsidRDefault="00E63B31" w:rsidP="00E63B31">
            <w:pPr>
              <w:pStyle w:val="THM-Table"/>
              <w:rPr>
                <w:rFonts w:eastAsia="Times New Roman"/>
                <w:lang w:val="en-US"/>
              </w:rPr>
            </w:pPr>
            <w:r w:rsidRPr="00E63B31">
              <w:rPr>
                <w:rFonts w:eastAsia="Times New Roman"/>
                <w:lang w:val="en-US"/>
              </w:rPr>
              <w:t>2.36</w:t>
            </w:r>
          </w:p>
        </w:tc>
      </w:tr>
    </w:tbl>
    <w:p w14:paraId="3B652FEA" w14:textId="7E8D0743" w:rsidR="00BA1763" w:rsidRPr="00F04551" w:rsidRDefault="00BA1763" w:rsidP="00E63B31">
      <w:pPr>
        <w:pStyle w:val="THM-Body"/>
        <w:rPr>
          <w:rFonts w:cs="Arial"/>
        </w:rPr>
      </w:pPr>
    </w:p>
    <w:p w14:paraId="7DDBF2DD" w14:textId="77777777" w:rsidR="007500AC" w:rsidRPr="00F04551" w:rsidRDefault="007500AC" w:rsidP="00E63B31">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7A010423" w14:textId="77777777" w:rsidR="00723E54" w:rsidRPr="00F04551" w:rsidRDefault="00723E54" w:rsidP="00E63B31">
      <w:pPr>
        <w:pStyle w:val="THM-Subhead"/>
      </w:pPr>
      <w:r w:rsidRPr="00F04551">
        <w:t>Tawara Heritage Mining</w:t>
      </w:r>
    </w:p>
    <w:p w14:paraId="1408BCA9" w14:textId="77777777" w:rsidR="00D57733" w:rsidRPr="00F04551" w:rsidRDefault="00723E54" w:rsidP="00E63B31">
      <w:pPr>
        <w:pStyle w:val="THM-Body"/>
        <w:rPr>
          <w:rFonts w:cs="Arial"/>
        </w:rPr>
      </w:pPr>
      <w:r w:rsidRPr="00F04551">
        <w:rPr>
          <w:rFonts w:cs="Arial"/>
        </w:rPr>
        <w:t>We</w:t>
      </w:r>
      <w:r w:rsidR="002F0FCC" w:rsidRPr="00F04551">
        <w:rPr>
          <w:rFonts w:cs="Arial"/>
        </w:rPr>
        <w:t xml:space="preserve"> are introducing a limited edition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2E3A624F" w14:textId="77777777" w:rsidR="00044F98" w:rsidRPr="00F04551" w:rsidRDefault="00D57733" w:rsidP="00E63B31">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Invitations to the event will be sent in the near future so be sure to book your place.</w:t>
      </w:r>
    </w:p>
    <w:sectPr w:rsidR="00044F98" w:rsidRPr="00F04551" w:rsidSect="00BA1763">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D313" w14:textId="77777777" w:rsidR="009A1B44" w:rsidRDefault="009A1B44" w:rsidP="00E456B4">
      <w:r>
        <w:separator/>
      </w:r>
    </w:p>
  </w:endnote>
  <w:endnote w:type="continuationSeparator" w:id="0">
    <w:p w14:paraId="20C66597" w14:textId="77777777" w:rsidR="009A1B44" w:rsidRDefault="009A1B44"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7F8A" w14:textId="4473610E" w:rsidR="00A6601C" w:rsidRDefault="00A6601C">
    <w:pPr>
      <w:pStyle w:val="Footer"/>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r w:rsidR="009A1B44">
      <w:fldChar w:fldCharType="begin"/>
    </w:r>
    <w:r w:rsidR="009A1B44">
      <w:instrText xml:space="preserve"> FILENAME  \p  \* MERGEFORMAT </w:instrText>
    </w:r>
    <w:r w:rsidR="009A1B44">
      <w:fldChar w:fldCharType="separate"/>
    </w:r>
    <w:r>
      <w:rPr>
        <w:noProof/>
      </w:rPr>
      <w:t>C:\Users\ADMIN\Desktop\ICT\HW1 Word\MINING.docx</w:t>
    </w:r>
    <w:r w:rsidR="009A1B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C17B" w14:textId="77777777" w:rsidR="009A1B44" w:rsidRDefault="009A1B44" w:rsidP="00E456B4">
      <w:r>
        <w:separator/>
      </w:r>
    </w:p>
  </w:footnote>
  <w:footnote w:type="continuationSeparator" w:id="0">
    <w:p w14:paraId="6C3F0E80" w14:textId="77777777" w:rsidR="009A1B44" w:rsidRDefault="009A1B44"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EE1E" w14:textId="538DE4CC" w:rsidR="00A6601C" w:rsidRDefault="00A6601C">
    <w:pPr>
      <w:pStyle w:val="Header"/>
    </w:pPr>
    <w:r>
      <w:ptab w:relativeTo="margin" w:alignment="center" w:leader="none"/>
    </w:r>
    <w:r>
      <w:ptab w:relativeTo="margin" w:alignment="right" w:leader="none"/>
    </w:r>
    <w:r w:rsidR="003631FE">
      <w:t>Habib</w:t>
    </w:r>
    <w:r>
      <w:t xml:space="preserve"> </w:t>
    </w:r>
    <w:r w:rsidR="003631FE">
      <w:t>Samara</w:t>
    </w:r>
    <w:r>
      <w:t xml:space="preserve">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1FCB"/>
    <w:multiLevelType w:val="hybridMultilevel"/>
    <w:tmpl w:val="A9C0C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E4A7E"/>
    <w:rsid w:val="000E714A"/>
    <w:rsid w:val="000F725C"/>
    <w:rsid w:val="001159EE"/>
    <w:rsid w:val="00125172"/>
    <w:rsid w:val="001540BD"/>
    <w:rsid w:val="001863F7"/>
    <w:rsid w:val="00216B63"/>
    <w:rsid w:val="00223DF7"/>
    <w:rsid w:val="002876B0"/>
    <w:rsid w:val="002B4D18"/>
    <w:rsid w:val="002C6CB5"/>
    <w:rsid w:val="002E25DA"/>
    <w:rsid w:val="002E60D7"/>
    <w:rsid w:val="002F0FCC"/>
    <w:rsid w:val="003171C6"/>
    <w:rsid w:val="003367D4"/>
    <w:rsid w:val="00345434"/>
    <w:rsid w:val="00346A7F"/>
    <w:rsid w:val="003631FE"/>
    <w:rsid w:val="003E46EB"/>
    <w:rsid w:val="003E4BA2"/>
    <w:rsid w:val="004A352F"/>
    <w:rsid w:val="004C5168"/>
    <w:rsid w:val="004C546D"/>
    <w:rsid w:val="004D0806"/>
    <w:rsid w:val="004E34DE"/>
    <w:rsid w:val="005008ED"/>
    <w:rsid w:val="00510EB2"/>
    <w:rsid w:val="00550F89"/>
    <w:rsid w:val="00552F3D"/>
    <w:rsid w:val="00553403"/>
    <w:rsid w:val="00592063"/>
    <w:rsid w:val="005D0925"/>
    <w:rsid w:val="005D5F88"/>
    <w:rsid w:val="005E2F88"/>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6AC3"/>
    <w:rsid w:val="007E0707"/>
    <w:rsid w:val="00803326"/>
    <w:rsid w:val="0082408B"/>
    <w:rsid w:val="008367D6"/>
    <w:rsid w:val="00844219"/>
    <w:rsid w:val="008853CF"/>
    <w:rsid w:val="008D1BA4"/>
    <w:rsid w:val="008D2F00"/>
    <w:rsid w:val="008E557C"/>
    <w:rsid w:val="009026C9"/>
    <w:rsid w:val="00921AEE"/>
    <w:rsid w:val="0096673F"/>
    <w:rsid w:val="009A1B44"/>
    <w:rsid w:val="009F3A6F"/>
    <w:rsid w:val="00A00707"/>
    <w:rsid w:val="00A31E9B"/>
    <w:rsid w:val="00A50B4B"/>
    <w:rsid w:val="00A6601C"/>
    <w:rsid w:val="00A93125"/>
    <w:rsid w:val="00AB5F31"/>
    <w:rsid w:val="00AE3C73"/>
    <w:rsid w:val="00AE60CB"/>
    <w:rsid w:val="00AE7531"/>
    <w:rsid w:val="00B37ECE"/>
    <w:rsid w:val="00B75781"/>
    <w:rsid w:val="00BA1763"/>
    <w:rsid w:val="00BA66AB"/>
    <w:rsid w:val="00BB6CAF"/>
    <w:rsid w:val="00BD706D"/>
    <w:rsid w:val="00BE3CA4"/>
    <w:rsid w:val="00C051D5"/>
    <w:rsid w:val="00C16441"/>
    <w:rsid w:val="00C55BBE"/>
    <w:rsid w:val="00C6642D"/>
    <w:rsid w:val="00C664F4"/>
    <w:rsid w:val="00CA77A7"/>
    <w:rsid w:val="00CC3535"/>
    <w:rsid w:val="00CC5BD2"/>
    <w:rsid w:val="00D11000"/>
    <w:rsid w:val="00D136B7"/>
    <w:rsid w:val="00D21BA0"/>
    <w:rsid w:val="00D31C49"/>
    <w:rsid w:val="00D356BC"/>
    <w:rsid w:val="00D57733"/>
    <w:rsid w:val="00D92EED"/>
    <w:rsid w:val="00DA3220"/>
    <w:rsid w:val="00DC7D18"/>
    <w:rsid w:val="00DE2AE0"/>
    <w:rsid w:val="00DF2935"/>
    <w:rsid w:val="00DF512E"/>
    <w:rsid w:val="00E16857"/>
    <w:rsid w:val="00E20C68"/>
    <w:rsid w:val="00E377EC"/>
    <w:rsid w:val="00E40E71"/>
    <w:rsid w:val="00E456B4"/>
    <w:rsid w:val="00E545C8"/>
    <w:rsid w:val="00E54B0F"/>
    <w:rsid w:val="00E63B31"/>
    <w:rsid w:val="00E7364E"/>
    <w:rsid w:val="00E82DDF"/>
    <w:rsid w:val="00EA02EB"/>
    <w:rsid w:val="00EB49C6"/>
    <w:rsid w:val="00ED45D7"/>
    <w:rsid w:val="00F04551"/>
    <w:rsid w:val="00F17776"/>
    <w:rsid w:val="00F2544F"/>
    <w:rsid w:val="00F33119"/>
    <w:rsid w:val="00F44D40"/>
    <w:rsid w:val="00F55377"/>
    <w:rsid w:val="00F60576"/>
    <w:rsid w:val="00F66A3E"/>
    <w:rsid w:val="00F815A1"/>
    <w:rsid w:val="00F9510B"/>
    <w:rsid w:val="00FA4F8A"/>
    <w:rsid w:val="00FC1A3F"/>
    <w:rsid w:val="00FD6C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92F2B"/>
  <w14:defaultImageDpi w14:val="0"/>
  <w15:docId w15:val="{E44B7200-7FAD-4E00-937F-721B5808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Normal"/>
    <w:qFormat/>
    <w:rsid w:val="00BB6CAF"/>
    <w:pPr>
      <w:jc w:val="right"/>
    </w:pPr>
    <w:rPr>
      <w:rFonts w:asciiTheme="majorBidi" w:hAnsiTheme="majorBidi" w:cs="Arial"/>
      <w:b/>
      <w:sz w:val="72"/>
    </w:rPr>
  </w:style>
  <w:style w:type="paragraph" w:customStyle="1" w:styleId="THM-Subtitle">
    <w:name w:val="THM-Subtitle"/>
    <w:basedOn w:val="Normal"/>
    <w:qFormat/>
    <w:rsid w:val="00D92EED"/>
    <w:rPr>
      <w:rFonts w:asciiTheme="minorBidi" w:hAnsiTheme="minorBidi"/>
      <w:sz w:val="36"/>
      <w:u w:val="single"/>
    </w:rPr>
  </w:style>
  <w:style w:type="paragraph" w:customStyle="1" w:styleId="THM-Subhead">
    <w:name w:val="THM-Subhead"/>
    <w:basedOn w:val="Normal"/>
    <w:qFormat/>
    <w:rsid w:val="00BA1763"/>
    <w:pPr>
      <w:spacing w:after="120"/>
      <w:jc w:val="center"/>
    </w:pPr>
    <w:rPr>
      <w:i/>
      <w:sz w:val="32"/>
      <w:u w:val="single"/>
    </w:rPr>
  </w:style>
  <w:style w:type="paragraph" w:customStyle="1" w:styleId="THM-Body">
    <w:name w:val="THM-Body"/>
    <w:basedOn w:val="Normal"/>
    <w:qFormat/>
    <w:rsid w:val="00D92EED"/>
    <w:pPr>
      <w:spacing w:after="240"/>
      <w:jc w:val="both"/>
    </w:pPr>
    <w:rPr>
      <w:rFonts w:asciiTheme="minorBidi" w:hAnsiTheme="minorBidi"/>
      <w:sz w:val="22"/>
    </w:rPr>
  </w:style>
  <w:style w:type="paragraph" w:customStyle="1" w:styleId="THM-Table">
    <w:name w:val="THM-Table"/>
    <w:basedOn w:val="Normal"/>
    <w:qFormat/>
    <w:rsid w:val="00D92EED"/>
    <w:pPr>
      <w:jc w:val="center"/>
    </w:pPr>
    <w:rPr>
      <w:rFonts w:asciiTheme="minorBidi" w:hAnsi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5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F3AFE-C4B2-4162-83EB-62A88EE8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Habib samara</cp:lastModifiedBy>
  <cp:revision>2</cp:revision>
  <cp:lastPrinted>2016-08-08T05:14:00Z</cp:lastPrinted>
  <dcterms:created xsi:type="dcterms:W3CDTF">2025-09-22T17:34:00Z</dcterms:created>
  <dcterms:modified xsi:type="dcterms:W3CDTF">2025-09-22T17:34:00Z</dcterms:modified>
</cp:coreProperties>
</file>